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3BE9" w14:textId="37594DC9" w:rsidR="00E81BE3" w:rsidRDefault="00853B8B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199E6" wp14:editId="06403F72">
            <wp:simplePos x="0" y="0"/>
            <wp:positionH relativeFrom="column">
              <wp:posOffset>-716280</wp:posOffset>
            </wp:positionH>
            <wp:positionV relativeFrom="paragraph">
              <wp:posOffset>-625475</wp:posOffset>
            </wp:positionV>
            <wp:extent cx="7541260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BE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52208" wp14:editId="7809E1D2">
                <wp:simplePos x="0" y="0"/>
                <wp:positionH relativeFrom="margin">
                  <wp:posOffset>-304800</wp:posOffset>
                </wp:positionH>
                <wp:positionV relativeFrom="paragraph">
                  <wp:posOffset>-4445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C2BC" w14:textId="77777777" w:rsidR="00E81BE3" w:rsidRPr="00E81BE3" w:rsidRDefault="00E81BE3" w:rsidP="00E81BE3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200"/>
                                <w:szCs w:val="200"/>
                                <w:lang w:val="fr-FR"/>
                              </w:rPr>
                            </w:pPr>
                            <w:r w:rsidRPr="00E81BE3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  <w:t>Volet coulissant noteal série 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522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pt;margin-top:-.35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uMw24t8AAAAJAQAADwAAAAAAAAAAAAAAAABqBAAAZHJzL2Rvd25yZXYueG1sUEsFBgAAAAAEAAQA&#10;8wAAAHYFAAAAAA==&#10;" filled="f" stroked="f">
                <v:textbox style="mso-fit-shape-to-text:t">
                  <w:txbxContent>
                    <w:p w14:paraId="0381C2BC" w14:textId="77777777" w:rsidR="00E81BE3" w:rsidRPr="00E81BE3" w:rsidRDefault="00E81BE3" w:rsidP="00E81BE3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200"/>
                          <w:szCs w:val="200"/>
                          <w:lang w:val="fr-FR"/>
                        </w:rPr>
                      </w:pPr>
                      <w:r w:rsidRPr="00E81BE3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  <w:lang w:val="fr-FR"/>
                        </w:rPr>
                        <w:t>Volet coulissant noteal série 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81D00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014D9485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18476E30" w14:textId="77777777" w:rsidR="00021F02" w:rsidRPr="00021F02" w:rsidRDefault="00021F02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075ADFF0" w14:textId="77777777" w:rsidR="00021F02" w:rsidRDefault="00021F02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444DB784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7486236C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5909CDEF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682E32A6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4F59E890" w14:textId="77777777" w:rsidR="00E81BE3" w:rsidRDefault="00E81BE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73BC97C" w14:textId="77777777" w:rsidR="00E81BE3" w:rsidRDefault="00E81BE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BAD6679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 cadre du volet aluminium sera de type coulissant suspendu sur rail haut aluminium de 42mm x 42mm. Il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sera réalisé avec un cadre montant/traverse tubulaire de module de 71mm de largeur et de 30mm d’épaisseur.</w:t>
      </w:r>
    </w:p>
    <w:p w14:paraId="2641144A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9B416A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cadres aluminium seront assemblés en coupe d’onglet à 45° par équerre à pion.</w:t>
      </w:r>
    </w:p>
    <w:p w14:paraId="7CD6C2BC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Selon la dimension il recevra une traverse intermédiaire de 72 mm de hauteur par 30mm de largeur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assemblée par des raccords aluminium.</w:t>
      </w:r>
    </w:p>
    <w:p w14:paraId="55F9A8F9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5D429E7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Profilé rail sera posé en applique pour pose extérieure OU en sous face pour pose sous linteau ou en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avancée.</w:t>
      </w:r>
    </w:p>
    <w:p w14:paraId="17586DC5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3677D2CB" w14:textId="77777777" w:rsidR="00350A40" w:rsidRPr="00E81BE3" w:rsidRDefault="00350A40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 guidage des panneaux coulissants sera assuré :</w:t>
      </w:r>
    </w:p>
    <w:p w14:paraId="2DDE8060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en partie haute, par un rail aluminium équipé d’un chariot coulissant et butée d’arrêt de fin de course,</w:t>
      </w:r>
    </w:p>
    <w:p w14:paraId="4BEFB96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en partie basse par des olives de guidages ponctuelles au sol guidées par un profilé U aluminium en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partie basse du panneau coulissant OU par des olives de guidage sur ouvrant et profilé U au sol.</w:t>
      </w:r>
    </w:p>
    <w:p w14:paraId="46A90FD8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ED1A05E" w14:textId="77777777" w:rsidR="00021F02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accessoires visibles pourront être réalisés dans la même finition que le volet</w:t>
      </w:r>
    </w:p>
    <w:p w14:paraId="2B021A41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AB5FCDE" w14:textId="77777777" w:rsidR="00350A40" w:rsidRPr="00E81BE3" w:rsidRDefault="00350A40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La condamnation des panneaux coulissants sera réalisée :</w:t>
      </w:r>
    </w:p>
    <w:p w14:paraId="02B28E8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par verrou à targette réversible droite et gauche sur chaque vantail,</w:t>
      </w:r>
    </w:p>
    <w:p w14:paraId="17131F53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81BE3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3A568C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par coquille de </w:t>
      </w:r>
      <w:r w:rsidR="009C7DF8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manœuvre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de type coulissant,</w:t>
      </w:r>
    </w:p>
    <w:p w14:paraId="0BB2736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81BE3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8027569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par fermetures 1 ou 2 points avec cylindre à clé.</w:t>
      </w:r>
    </w:p>
    <w:p w14:paraId="715F170E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8047316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lames pleines toute hauteur :</w:t>
      </w:r>
    </w:p>
    <w:p w14:paraId="0DC00EB4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lames aluminium tubulaires verticales ou horizontales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de 80mm. Les lames seront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elles.</w:t>
      </w:r>
    </w:p>
    <w:p w14:paraId="1C00BE99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39CB7B1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lames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es fixes toute hauteur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:</w:t>
      </w:r>
    </w:p>
    <w:p w14:paraId="0E3FDF6A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aluminium de 48mm de hauteur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et 6mm d’épaisseur qui seront emboîtées sur deux crémaillères aluminium avant montage dans le cadre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de l’ouvrant.</w:t>
      </w:r>
    </w:p>
    <w:p w14:paraId="436A9E61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C4AC3E8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avec lames orientables :</w:t>
      </w:r>
    </w:p>
    <w:p w14:paraId="0B4A7ED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doubles lames orientables de 70mm de hauteur et19.50mm d’épaisseur s’intégrant dans des porte-lames assurant également l’ouverture et la fermeture des</w:t>
      </w:r>
      <w:r w:rsidR="009C7DF8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lames.</w:t>
      </w:r>
    </w:p>
    <w:p w14:paraId="43F1A732" w14:textId="77777777" w:rsidR="00E81BE3" w:rsidRPr="00E81BE3" w:rsidRDefault="00E81BE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8A80ADF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lastRenderedPageBreak/>
        <w:t xml:space="preserve">/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mixte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lames fixes / plein :</w:t>
      </w:r>
    </w:p>
    <w:p w14:paraId="51B5E175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haute, les remplissages des volets seront réalisés par des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horizontales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aluminium de 48mm de hauteur et 6mm d’épaisseur. Les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seront emboîtées sur deux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crémaillères aluminium avant montage dans le cadre de l’ouvrant.</w:t>
      </w:r>
    </w:p>
    <w:p w14:paraId="4997142E" w14:textId="77777777" w:rsidR="009C7DF8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basse, remplissage par des lames tubulaires horizontales ou verticales de 80mm,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sous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un profilé traverse intermédiaire.</w:t>
      </w:r>
    </w:p>
    <w:p w14:paraId="43EDF7E9" w14:textId="77777777" w:rsidR="009C7DF8" w:rsidRDefault="009C7DF8" w:rsidP="00E81BE3">
      <w:pPr>
        <w:tabs>
          <w:tab w:val="left" w:pos="5580"/>
        </w:tabs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1B4C7F43" w14:textId="77777777" w:rsidR="00E81BE3" w:rsidRPr="00E81BE3" w:rsidRDefault="00E81BE3" w:rsidP="00E81BE3">
      <w:pPr>
        <w:tabs>
          <w:tab w:val="left" w:pos="5580"/>
        </w:tabs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60BAEA1B" w14:textId="77777777" w:rsidR="009C7DF8" w:rsidRPr="00E81BE3" w:rsidRDefault="009C7DF8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E81BE3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8" w:history="1">
        <w:r w:rsidRPr="00E81BE3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7DB3F38F" w14:textId="77777777" w:rsidR="009C7DF8" w:rsidRDefault="009C7DF8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E81BE3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7B93A869" w14:textId="77777777" w:rsidR="00E81BE3" w:rsidRPr="00E81BE3" w:rsidRDefault="00E81BE3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</w:p>
    <w:p w14:paraId="6AB0C0E6" w14:textId="3BE026CC" w:rsidR="009C7DF8" w:rsidRDefault="00853B8B" w:rsidP="00041DE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F99AFD7" wp14:editId="126106EB">
            <wp:extent cx="4877547" cy="4145915"/>
            <wp:effectExtent l="0" t="0" r="0" b="698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47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46FD" w14:textId="36CCB8A1" w:rsidR="00041DE5" w:rsidRPr="00041DE5" w:rsidRDefault="00041DE5" w:rsidP="00041DE5">
      <w:pPr>
        <w:rPr>
          <w:rFonts w:ascii="Arial Narrow" w:hAnsi="Arial Narrow"/>
          <w:sz w:val="24"/>
          <w:szCs w:val="24"/>
          <w:lang w:val="fr-FR"/>
        </w:rPr>
      </w:pPr>
    </w:p>
    <w:p w14:paraId="66D3C54A" w14:textId="654488B0" w:rsidR="00041DE5" w:rsidRPr="00041DE5" w:rsidRDefault="00041DE5" w:rsidP="00041DE5">
      <w:pPr>
        <w:rPr>
          <w:rFonts w:ascii="Arial Narrow" w:hAnsi="Arial Narrow"/>
          <w:sz w:val="24"/>
          <w:szCs w:val="24"/>
          <w:lang w:val="fr-FR"/>
        </w:rPr>
      </w:pPr>
    </w:p>
    <w:p w14:paraId="113CBBDB" w14:textId="61FF73F5" w:rsidR="00041DE5" w:rsidRPr="00041DE5" w:rsidRDefault="00041DE5" w:rsidP="00041DE5">
      <w:pPr>
        <w:rPr>
          <w:rFonts w:ascii="Arial Narrow" w:hAnsi="Arial Narrow"/>
          <w:sz w:val="24"/>
          <w:szCs w:val="24"/>
          <w:lang w:val="fr-FR"/>
        </w:rPr>
      </w:pPr>
    </w:p>
    <w:p w14:paraId="20106F13" w14:textId="00130D5E" w:rsidR="00041DE5" w:rsidRDefault="00041DE5" w:rsidP="00041DE5">
      <w:pPr>
        <w:rPr>
          <w:noProof/>
        </w:rPr>
      </w:pPr>
      <w:bookmarkStart w:id="0" w:name="_GoBack"/>
    </w:p>
    <w:p w14:paraId="5EF03792" w14:textId="4F3054DD" w:rsidR="00041DE5" w:rsidRPr="00041DE5" w:rsidRDefault="00041DE5" w:rsidP="00041DE5">
      <w:pPr>
        <w:tabs>
          <w:tab w:val="left" w:pos="1824"/>
        </w:tabs>
        <w:rPr>
          <w:rFonts w:ascii="Arial Narrow" w:hAnsi="Arial Narrow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4925E" wp14:editId="547AF8B2">
                <wp:simplePos x="0" y="0"/>
                <wp:positionH relativeFrom="column">
                  <wp:posOffset>-716280</wp:posOffset>
                </wp:positionH>
                <wp:positionV relativeFrom="paragraph">
                  <wp:posOffset>357505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146E3" id="Rectangle 28" o:spid="_x0000_s1026" style="position:absolute;margin-left:-56.4pt;margin-top:28.15pt;width:595.2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" fillcolor="black" stroked="f" strokecolor="#f2f2f2" strokeweight="3pt">
                <v:shadow color="#7f7f7f" opacity=".5" offset="1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6ADB76E" wp14:editId="5BD6A4BE">
            <wp:simplePos x="0" y="0"/>
            <wp:positionH relativeFrom="column">
              <wp:posOffset>2755900</wp:posOffset>
            </wp:positionH>
            <wp:positionV relativeFrom="paragraph">
              <wp:posOffset>502285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4"/>
          <w:szCs w:val="24"/>
          <w:lang w:val="fr-FR"/>
        </w:rPr>
        <w:tab/>
      </w:r>
      <w:bookmarkEnd w:id="0"/>
    </w:p>
    <w:sectPr w:rsidR="00041DE5" w:rsidRPr="00041DE5" w:rsidSect="0094365B">
      <w:footerReference w:type="default" r:id="rId11"/>
      <w:headerReference w:type="first" r:id="rId12"/>
      <w:footerReference w:type="first" r:id="rId13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935D" w14:textId="77777777" w:rsidR="00BE2ABE" w:rsidRDefault="00BE2ABE" w:rsidP="008F12E8">
      <w:r>
        <w:separator/>
      </w:r>
    </w:p>
  </w:endnote>
  <w:endnote w:type="continuationSeparator" w:id="0">
    <w:p w14:paraId="7E641787" w14:textId="77777777" w:rsidR="00BE2ABE" w:rsidRDefault="00BE2ABE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2948" w14:textId="77777777" w:rsidR="00041DE5" w:rsidRDefault="00041D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1EC6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672C" w14:textId="77777777" w:rsidR="00BE2ABE" w:rsidRDefault="00BE2ABE" w:rsidP="008F12E8">
      <w:r>
        <w:separator/>
      </w:r>
    </w:p>
  </w:footnote>
  <w:footnote w:type="continuationSeparator" w:id="0">
    <w:p w14:paraId="4CDD2FE9" w14:textId="77777777" w:rsidR="00BE2ABE" w:rsidRDefault="00BE2ABE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61C4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21F02"/>
    <w:rsid w:val="00023A57"/>
    <w:rsid w:val="00041DE5"/>
    <w:rsid w:val="000A280F"/>
    <w:rsid w:val="000D39C7"/>
    <w:rsid w:val="00152CFF"/>
    <w:rsid w:val="00192904"/>
    <w:rsid w:val="001D435A"/>
    <w:rsid w:val="001E59C9"/>
    <w:rsid w:val="001F2FDD"/>
    <w:rsid w:val="00207E1D"/>
    <w:rsid w:val="002E6DDD"/>
    <w:rsid w:val="00344302"/>
    <w:rsid w:val="00350A40"/>
    <w:rsid w:val="003A690C"/>
    <w:rsid w:val="003D1D7E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53B8B"/>
    <w:rsid w:val="008D3FD1"/>
    <w:rsid w:val="008F12E8"/>
    <w:rsid w:val="0094365B"/>
    <w:rsid w:val="0095072C"/>
    <w:rsid w:val="00996A3F"/>
    <w:rsid w:val="009C7DF8"/>
    <w:rsid w:val="00A401C4"/>
    <w:rsid w:val="00A54763"/>
    <w:rsid w:val="00A866DE"/>
    <w:rsid w:val="00AE7A4D"/>
    <w:rsid w:val="00BE0209"/>
    <w:rsid w:val="00BE2ABE"/>
    <w:rsid w:val="00BE6163"/>
    <w:rsid w:val="00CA5A4C"/>
    <w:rsid w:val="00CC5EEA"/>
    <w:rsid w:val="00D6681A"/>
    <w:rsid w:val="00DC7C6C"/>
    <w:rsid w:val="00E63502"/>
    <w:rsid w:val="00E81BE3"/>
    <w:rsid w:val="00EA2714"/>
    <w:rsid w:val="00EB3F03"/>
    <w:rsid w:val="00FA2662"/>
    <w:rsid w:val="00FB27E0"/>
    <w:rsid w:val="00FB2C16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5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al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0FE8-18F3-4823-9EE3-55D3622D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2019-02-11T15:40:00Z</dcterms:created>
  <dcterms:modified xsi:type="dcterms:W3CDTF">2021-04-13T13:56:00Z</dcterms:modified>
</cp:coreProperties>
</file>